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17DE" w14:textId="10A6BA87" w:rsidR="00FF07F9" w:rsidRPr="00FF07F9" w:rsidRDefault="00BE0658" w:rsidP="00BE0658">
      <w:pPr>
        <w:jc w:val="both"/>
      </w:pPr>
      <w:r>
        <w:t xml:space="preserve">En 2023, se llevó a cabo la primera edición del programa </w:t>
      </w:r>
      <w:r w:rsidR="00FF07F9" w:rsidRPr="00FF07F9">
        <w:rPr>
          <w:b/>
          <w:bCs/>
        </w:rPr>
        <w:t>Legal&amp;Justicia Tech Lab</w:t>
      </w:r>
      <w:r>
        <w:t xml:space="preserve">, </w:t>
      </w:r>
      <w:r w:rsidR="00FF07F9" w:rsidRPr="00FF07F9">
        <w:t xml:space="preserve">una iniciativa innovadora </w:t>
      </w:r>
      <w:r>
        <w:t xml:space="preserve">que estuvo </w:t>
      </w:r>
      <w:r w:rsidR="00FF07F9" w:rsidRPr="00FF07F9">
        <w:t>promovida por las Consejerías de Presidencia y Ciencia del Gobierno del Principado de Asturias, en colaboración con el Ministerio de Justicia</w:t>
      </w:r>
      <w:r>
        <w:t xml:space="preserve"> con el</w:t>
      </w:r>
      <w:r w:rsidR="00FF07F9" w:rsidRPr="00FF07F9">
        <w:t xml:space="preserve"> objetivo </w:t>
      </w:r>
      <w:r>
        <w:t>de</w:t>
      </w:r>
      <w:r w:rsidR="00FF07F9" w:rsidRPr="00FF07F9">
        <w:t xml:space="preserve"> crear un laboratorio de innovación que impulse la transformación tecnológica en el ámbito legal, mejorando la eficiencia en la administración de justicia y proporcionando nuevas oportunidades al sector tecnológico.</w:t>
      </w:r>
    </w:p>
    <w:p w14:paraId="689C7D9B" w14:textId="5B4CC1FD" w:rsidR="00FF07F9" w:rsidRDefault="00BE0658" w:rsidP="00BE0658">
      <w:pPr>
        <w:jc w:val="both"/>
      </w:pPr>
      <w:r>
        <w:t>En dicha edición, se trató de fomentar</w:t>
      </w:r>
      <w:r w:rsidR="00FF07F9" w:rsidRPr="00FF07F9">
        <w:t xml:space="preserve"> la colaboración entre el ecosistema legal y el tecnológico, y promoviendo la participación de empresas asturianas en los desafíos tecnológicos planteados por el Ministerio de Justicia como parte de su plan de transformación digital </w:t>
      </w:r>
      <w:r w:rsidR="00FF07F9" w:rsidRPr="00FF07F9">
        <w:rPr>
          <w:b/>
          <w:bCs/>
        </w:rPr>
        <w:t>Justicia 2030</w:t>
      </w:r>
      <w:r w:rsidR="00FF07F9" w:rsidRPr="00FF07F9">
        <w:t>.</w:t>
      </w:r>
    </w:p>
    <w:p w14:paraId="31F49820" w14:textId="158749F0" w:rsidR="00B8716E" w:rsidRDefault="00B8716E" w:rsidP="00BE0658">
      <w:pPr>
        <w:jc w:val="both"/>
      </w:pPr>
      <w:r>
        <w:t xml:space="preserve">El programa arrancó con la celebración de una </w:t>
      </w:r>
      <w:r w:rsidRPr="00B8716E">
        <w:rPr>
          <w:b/>
          <w:bCs/>
          <w:u w:val="single"/>
        </w:rPr>
        <w:t>jornada de presentación</w:t>
      </w:r>
      <w:r>
        <w:t xml:space="preserve"> el </w:t>
      </w:r>
      <w:r w:rsidRPr="00B8716E">
        <w:t xml:space="preserve">22 de febrero, en el </w:t>
      </w:r>
      <w:r>
        <w:t xml:space="preserve">Espacio </w:t>
      </w:r>
      <w:r w:rsidRPr="00B8716E">
        <w:t>AS5-HUB de</w:t>
      </w:r>
      <w:r>
        <w:t>l Parque Científico Tecnológico de</w:t>
      </w:r>
      <w:r w:rsidRPr="00B8716E">
        <w:t xml:space="preserve"> Gijón</w:t>
      </w:r>
      <w:r>
        <w:t xml:space="preserve">. </w:t>
      </w:r>
      <w:r w:rsidRPr="00B8716E">
        <w:t xml:space="preserve"> </w:t>
      </w:r>
    </w:p>
    <w:p w14:paraId="59ACDA83" w14:textId="109F0B6F" w:rsidR="00B8716E" w:rsidRDefault="00B8716E" w:rsidP="00BE0658">
      <w:pPr>
        <w:jc w:val="both"/>
      </w:pPr>
      <w:hyperlink r:id="rId5" w:history="1">
        <w:r w:rsidRPr="009A4574">
          <w:rPr>
            <w:rStyle w:val="Hipervnculo"/>
          </w:rPr>
          <w:t>https://youtu.be/YoB84__3zRQ</w:t>
        </w:r>
      </w:hyperlink>
    </w:p>
    <w:p w14:paraId="53917E31" w14:textId="0DEAC629" w:rsidR="00FF07F9" w:rsidRPr="00FF07F9" w:rsidRDefault="00FF07F9" w:rsidP="00BE0658">
      <w:pPr>
        <w:jc w:val="both"/>
        <w:rPr>
          <w:u w:val="single"/>
        </w:rPr>
      </w:pPr>
      <w:r w:rsidRPr="00FF07F9">
        <w:rPr>
          <w:b/>
          <w:bCs/>
          <w:u w:val="single"/>
        </w:rPr>
        <w:t>Retos del programa</w:t>
      </w:r>
      <w:r w:rsidR="00BE0658" w:rsidRPr="00BE0658">
        <w:rPr>
          <w:b/>
          <w:bCs/>
          <w:u w:val="single"/>
        </w:rPr>
        <w:t xml:space="preserve"> (2023)</w:t>
      </w:r>
      <w:r w:rsidR="00BE0658">
        <w:rPr>
          <w:b/>
          <w:bCs/>
          <w:u w:val="single"/>
        </w:rPr>
        <w:t>.</w:t>
      </w:r>
    </w:p>
    <w:p w14:paraId="0FA30E0C" w14:textId="77777777" w:rsidR="00FF07F9" w:rsidRPr="00FF07F9" w:rsidRDefault="00FF07F9" w:rsidP="00BE0658">
      <w:pPr>
        <w:jc w:val="both"/>
      </w:pPr>
      <w:r w:rsidRPr="00FF07F9">
        <w:t xml:space="preserve">El Ministerio de Justicia identificó </w:t>
      </w:r>
      <w:r w:rsidRPr="00FF07F9">
        <w:rPr>
          <w:b/>
          <w:bCs/>
        </w:rPr>
        <w:t>11 retos temáticos</w:t>
      </w:r>
      <w:r w:rsidRPr="00FF07F9">
        <w:t xml:space="preserve"> a los que las empresas podían proponer soluciones. Estos retos abarcaron áreas clave como:</w:t>
      </w:r>
    </w:p>
    <w:p w14:paraId="32FED1EA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6" w:history="1">
        <w:r w:rsidR="00BE0658" w:rsidRPr="00BE0658">
          <w:rPr>
            <w:rStyle w:val="Hipervnculo"/>
            <w:b/>
            <w:bCs/>
          </w:rPr>
          <w:t>RETO 1: Automatización de procesos y robotización</w:t>
        </w:r>
      </w:hyperlink>
    </w:p>
    <w:p w14:paraId="74C7B9F3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7" w:history="1">
        <w:r w:rsidR="00BE0658" w:rsidRPr="00BE0658">
          <w:rPr>
            <w:rStyle w:val="Hipervnculo"/>
            <w:b/>
            <w:bCs/>
          </w:rPr>
          <w:t>RETO 2: Soluciones IA</w:t>
        </w:r>
      </w:hyperlink>
    </w:p>
    <w:p w14:paraId="2D35851B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8" w:history="1">
        <w:r w:rsidR="00BE0658" w:rsidRPr="00BE0658">
          <w:rPr>
            <w:rStyle w:val="Hipervnculo"/>
            <w:b/>
            <w:bCs/>
          </w:rPr>
          <w:t>RETO 3: Low Code (I)</w:t>
        </w:r>
      </w:hyperlink>
    </w:p>
    <w:p w14:paraId="794030F3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9" w:history="1">
        <w:r w:rsidR="00BE0658" w:rsidRPr="00BE0658">
          <w:rPr>
            <w:rStyle w:val="Hipervnculo"/>
            <w:b/>
            <w:bCs/>
          </w:rPr>
          <w:t>RETO 4: Low Code (II)</w:t>
        </w:r>
      </w:hyperlink>
    </w:p>
    <w:p w14:paraId="2EA2D9CF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10" w:history="1">
        <w:r w:rsidR="00BE0658" w:rsidRPr="00BE0658">
          <w:rPr>
            <w:rStyle w:val="Hipervnculo"/>
            <w:b/>
            <w:bCs/>
          </w:rPr>
          <w:t>RETO 5:Interoperabilidad</w:t>
        </w:r>
      </w:hyperlink>
    </w:p>
    <w:p w14:paraId="388A93AC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11" w:history="1">
        <w:r w:rsidR="00BE0658" w:rsidRPr="00BE0658">
          <w:rPr>
            <w:rStyle w:val="Hipervnculo"/>
            <w:b/>
            <w:bCs/>
          </w:rPr>
          <w:t>RETO 6: Justicia Orientada al Dato</w:t>
        </w:r>
      </w:hyperlink>
    </w:p>
    <w:p w14:paraId="374FED2D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12" w:history="1">
        <w:r w:rsidR="00BE0658" w:rsidRPr="00BE0658">
          <w:rPr>
            <w:rStyle w:val="Hipervnculo"/>
            <w:b/>
            <w:bCs/>
          </w:rPr>
          <w:t>RETO 7: Carpeta Justicia (I)</w:t>
        </w:r>
      </w:hyperlink>
    </w:p>
    <w:p w14:paraId="104A99F6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13" w:history="1">
        <w:r w:rsidR="00BE0658" w:rsidRPr="00BE0658">
          <w:rPr>
            <w:rStyle w:val="Hipervnculo"/>
            <w:b/>
            <w:bCs/>
          </w:rPr>
          <w:t>RETO 8: Carpeta Justicia (II)</w:t>
        </w:r>
      </w:hyperlink>
    </w:p>
    <w:p w14:paraId="19013834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14" w:history="1">
        <w:r w:rsidR="00BE0658" w:rsidRPr="00BE0658">
          <w:rPr>
            <w:rStyle w:val="Hipervnculo"/>
            <w:b/>
            <w:bCs/>
          </w:rPr>
          <w:t>RETO 9: Inmediación Digital</w:t>
        </w:r>
      </w:hyperlink>
    </w:p>
    <w:p w14:paraId="5ED5E174" w14:textId="77777777" w:rsidR="00BE0658" w:rsidRPr="00BE0658" w:rsidRDefault="00B8716E" w:rsidP="00BE0658">
      <w:pPr>
        <w:pStyle w:val="Prrafodelista"/>
        <w:numPr>
          <w:ilvl w:val="0"/>
          <w:numId w:val="2"/>
        </w:numPr>
        <w:rPr>
          <w:b/>
          <w:bCs/>
        </w:rPr>
      </w:pPr>
      <w:hyperlink r:id="rId15" w:history="1">
        <w:r w:rsidR="00BE0658" w:rsidRPr="00BE0658">
          <w:rPr>
            <w:rStyle w:val="Hipervnculo"/>
            <w:b/>
            <w:bCs/>
          </w:rPr>
          <w:t>RETO 10: Textualización de Grabaciones</w:t>
        </w:r>
      </w:hyperlink>
    </w:p>
    <w:p w14:paraId="587E71E7" w14:textId="77777777" w:rsidR="00FF07F9" w:rsidRPr="00FF07F9" w:rsidRDefault="00FF07F9" w:rsidP="00BE0658">
      <w:pPr>
        <w:jc w:val="both"/>
      </w:pPr>
      <w:r w:rsidRPr="00FF07F9">
        <w:t>Además, se incluyó un "reto abierto" para soluciones innovadoras que no encajasen en los retos específicos, pero que pudieran contribuir a la transformación digital de la justicia.</w:t>
      </w:r>
    </w:p>
    <w:p w14:paraId="05E47DF1" w14:textId="23B5BB9A" w:rsidR="00FF07F9" w:rsidRPr="00FF07F9" w:rsidRDefault="00FF07F9" w:rsidP="00FF07F9">
      <w:r w:rsidRPr="00FF07F9">
        <w:rPr>
          <w:b/>
          <w:bCs/>
        </w:rPr>
        <w:t>Resultados</w:t>
      </w:r>
      <w:r w:rsidR="00BE0658">
        <w:rPr>
          <w:b/>
          <w:bCs/>
        </w:rPr>
        <w:t>.</w:t>
      </w:r>
    </w:p>
    <w:p w14:paraId="602839F7" w14:textId="2E1C8838" w:rsidR="00AA0B3D" w:rsidRDefault="00FF07F9">
      <w:r w:rsidRPr="00FF07F9">
        <w:t xml:space="preserve">El impacto de la edición 2023 fue significativo, </w:t>
      </w:r>
      <w:r w:rsidR="00DE157E">
        <w:t>en el que se obtuvieron los siguientes resultados:</w:t>
      </w:r>
    </w:p>
    <w:p w14:paraId="51FCD6B7" w14:textId="43375A72" w:rsidR="00DE157E" w:rsidRDefault="00DE157E" w:rsidP="00DE157E">
      <w:pPr>
        <w:pStyle w:val="Prrafodelista"/>
        <w:numPr>
          <w:ilvl w:val="0"/>
          <w:numId w:val="3"/>
        </w:numPr>
      </w:pPr>
      <w:r>
        <w:t>103 manifestaciones de interés a los retos publicados.</w:t>
      </w:r>
    </w:p>
    <w:p w14:paraId="3140628A" w14:textId="0EB416FB" w:rsidR="00DE157E" w:rsidRDefault="00DE157E" w:rsidP="00DE157E">
      <w:pPr>
        <w:pStyle w:val="Prrafodelista"/>
        <w:numPr>
          <w:ilvl w:val="0"/>
          <w:numId w:val="3"/>
        </w:numPr>
      </w:pPr>
      <w:r>
        <w:t>23 empresas se interesaron en alguno de los retos.</w:t>
      </w:r>
    </w:p>
    <w:p w14:paraId="60D619B3" w14:textId="2627FEDF" w:rsidR="00DE157E" w:rsidRDefault="0030556C" w:rsidP="00DE157E">
      <w:pPr>
        <w:pStyle w:val="Prrafodelista"/>
        <w:numPr>
          <w:ilvl w:val="0"/>
          <w:numId w:val="3"/>
        </w:numPr>
      </w:pPr>
      <w:r>
        <w:t>Además de los 11 retos, han surgido 2 nuevos casos de uso que se plantearon a las empresas participantes.</w:t>
      </w:r>
    </w:p>
    <w:p w14:paraId="5409C102" w14:textId="70CBCFED" w:rsidR="0030556C" w:rsidRDefault="0030556C" w:rsidP="00DE157E">
      <w:pPr>
        <w:pStyle w:val="Prrafodelista"/>
        <w:numPr>
          <w:ilvl w:val="0"/>
          <w:numId w:val="3"/>
        </w:numPr>
      </w:pPr>
      <w:r>
        <w:t>Se recibieron un total de 23 soluciones tecnológicas por parte de 14 empresas.</w:t>
      </w:r>
    </w:p>
    <w:p w14:paraId="4B298C6A" w14:textId="7584B0AA" w:rsidR="0030556C" w:rsidRDefault="0030556C" w:rsidP="00DE157E">
      <w:pPr>
        <w:pStyle w:val="Prrafodelista"/>
        <w:numPr>
          <w:ilvl w:val="0"/>
          <w:numId w:val="3"/>
        </w:numPr>
      </w:pPr>
      <w:r>
        <w:t>Finalmente se llegaron a implementar 3 retos:</w:t>
      </w:r>
    </w:p>
    <w:p w14:paraId="47A704F1" w14:textId="77777777" w:rsidR="0030556C" w:rsidRDefault="0030556C" w:rsidP="0030556C">
      <w:pPr>
        <w:pStyle w:val="Prrafodelista"/>
        <w:numPr>
          <w:ilvl w:val="1"/>
          <w:numId w:val="3"/>
        </w:numPr>
      </w:pPr>
      <w:r>
        <w:t>Reto 5: Interoperabilidad. Empresa: B1 APPS</w:t>
      </w:r>
    </w:p>
    <w:p w14:paraId="3FCBF835" w14:textId="77777777" w:rsidR="0030556C" w:rsidRDefault="0030556C" w:rsidP="0030556C">
      <w:pPr>
        <w:pStyle w:val="Prrafodelista"/>
        <w:numPr>
          <w:ilvl w:val="1"/>
          <w:numId w:val="3"/>
        </w:numPr>
      </w:pPr>
      <w:r>
        <w:t>Reto 6: Justifica orientada al dato. Empresa: B1 APPS</w:t>
      </w:r>
    </w:p>
    <w:p w14:paraId="3A50E7E7" w14:textId="3319A9E6" w:rsidR="0030556C" w:rsidRDefault="0030556C" w:rsidP="0030556C">
      <w:pPr>
        <w:pStyle w:val="Prrafodelista"/>
        <w:numPr>
          <w:ilvl w:val="1"/>
          <w:numId w:val="3"/>
        </w:numPr>
      </w:pPr>
      <w:r>
        <w:t>Reto 10: Visualización avanzada de documentos. Empresa: UP INTELLIGENCE.</w:t>
      </w:r>
    </w:p>
    <w:sectPr w:rsidR="00305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57D7"/>
    <w:multiLevelType w:val="hybridMultilevel"/>
    <w:tmpl w:val="30C09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6D0"/>
    <w:multiLevelType w:val="multilevel"/>
    <w:tmpl w:val="D7B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73A10"/>
    <w:multiLevelType w:val="hybridMultilevel"/>
    <w:tmpl w:val="89A85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90230">
    <w:abstractNumId w:val="1"/>
  </w:num>
  <w:num w:numId="2" w16cid:durableId="1969437131">
    <w:abstractNumId w:val="2"/>
  </w:num>
  <w:num w:numId="3" w16cid:durableId="195601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F9"/>
    <w:rsid w:val="0030556C"/>
    <w:rsid w:val="005A4788"/>
    <w:rsid w:val="00A27ED2"/>
    <w:rsid w:val="00AA0B3D"/>
    <w:rsid w:val="00B8716E"/>
    <w:rsid w:val="00BE0658"/>
    <w:rsid w:val="00DE157E"/>
    <w:rsid w:val="00F11F87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FE0D"/>
  <w15:chartTrackingRefBased/>
  <w15:docId w15:val="{EC1DEE76-8C6A-428F-AB88-E079A64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0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0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0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0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0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0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0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0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0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0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0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07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07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07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07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07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07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0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0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0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07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07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07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0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07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07F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E065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ei.es/legal&amp;justiciatechlab/?r=y4xpnl7yxijmnhv2bdu" TargetMode="External"/><Relationship Id="rId13" Type="http://schemas.openxmlformats.org/officeDocument/2006/relationships/hyperlink" Target="https://www.ceei.es/legal&amp;justiciatechlab/?r=uh6m25629rgntby063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ei.es/legal&amp;justiciatechlab/?r=f8hihmsldb5jb0q9st2v" TargetMode="External"/><Relationship Id="rId12" Type="http://schemas.openxmlformats.org/officeDocument/2006/relationships/hyperlink" Target="https://www.ceei.es/legal&amp;justiciatechlab/?r=srn23x4j2n9rllh55hh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eei.es/legal&amp;justiciatechlab/?r=936x1jw7oezy5v20rur7" TargetMode="External"/><Relationship Id="rId11" Type="http://schemas.openxmlformats.org/officeDocument/2006/relationships/hyperlink" Target="https://www.ceei.es/legal&amp;justiciatechlab/?r=5vr4awvt6q0won2ivcip" TargetMode="External"/><Relationship Id="rId5" Type="http://schemas.openxmlformats.org/officeDocument/2006/relationships/hyperlink" Target="https://youtu.be/YoB84__3zRQ" TargetMode="External"/><Relationship Id="rId15" Type="http://schemas.openxmlformats.org/officeDocument/2006/relationships/hyperlink" Target="https://www.ceei.es/legal&amp;justiciatechlab/?r=4ea4hzryz2n38ffdyxo" TargetMode="External"/><Relationship Id="rId10" Type="http://schemas.openxmlformats.org/officeDocument/2006/relationships/hyperlink" Target="https://www.ceei.es/legal&amp;justiciatechlab/?r=5ynp1q4bvx9zl3cn4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ei.es/legal&amp;justiciatechlab/?r=t033op7n9zhz2fnk542z" TargetMode="External"/><Relationship Id="rId14" Type="http://schemas.openxmlformats.org/officeDocument/2006/relationships/hyperlink" Target="https://www.ceei.es/legal&amp;justiciatechlab/?r=fwp5tpbhaksq530ok0m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CEEI ASTURIAS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Parrondo - CEEI ASTURIAS</dc:creator>
  <cp:keywords/>
  <dc:description/>
  <cp:lastModifiedBy>Roberto Parrondo - CEEI ASTURIAS</cp:lastModifiedBy>
  <cp:revision>6</cp:revision>
  <dcterms:created xsi:type="dcterms:W3CDTF">2024-10-22T13:38:00Z</dcterms:created>
  <dcterms:modified xsi:type="dcterms:W3CDTF">2024-10-22T15:04:00Z</dcterms:modified>
</cp:coreProperties>
</file>